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BA" w:rsidRPr="008311E8" w:rsidRDefault="00275F2B" w:rsidP="00EB0CBA">
      <w:pPr>
        <w:jc w:val="center"/>
        <w:rPr>
          <w:rFonts w:ascii="Verdana" w:hAnsi="Verdana"/>
          <w:b/>
          <w:sz w:val="24"/>
          <w:szCs w:val="24"/>
        </w:rPr>
      </w:pPr>
      <w:r w:rsidRPr="008311E8">
        <w:rPr>
          <w:rFonts w:ascii="Verdana" w:hAnsi="Verdana"/>
          <w:b/>
          <w:sz w:val="24"/>
          <w:szCs w:val="24"/>
        </w:rPr>
        <w:t>Controlled Substance Agreement</w:t>
      </w:r>
    </w:p>
    <w:p w:rsidR="00A22D86" w:rsidRPr="00DD39F1" w:rsidRDefault="00275F2B" w:rsidP="00DD39F1">
      <w:pPr>
        <w:spacing w:after="120"/>
        <w:jc w:val="center"/>
        <w:rPr>
          <w:rFonts w:ascii="Verdana" w:hAnsi="Verdana"/>
          <w:b/>
          <w:sz w:val="32"/>
          <w:szCs w:val="32"/>
        </w:rPr>
      </w:pPr>
      <w:r w:rsidRPr="008311E8">
        <w:rPr>
          <w:rFonts w:ascii="Verdana" w:hAnsi="Verdana"/>
          <w:b/>
          <w:sz w:val="24"/>
          <w:szCs w:val="24"/>
        </w:rPr>
        <w:t>Informed Consent Form</w:t>
      </w:r>
    </w:p>
    <w:p w:rsidR="009547E9" w:rsidRDefault="00E37DF1" w:rsidP="00E9715D">
      <w:pPr>
        <w:spacing w:after="120"/>
        <w:ind w:left="0"/>
        <w:jc w:val="both"/>
        <w:rPr>
          <w:rFonts w:ascii="Times New Roman" w:hAnsi="Times New Roman"/>
        </w:rPr>
      </w:pPr>
      <w:r>
        <w:rPr>
          <w:rFonts w:ascii="Times New Roman" w:hAnsi="Times New Roman"/>
        </w:rPr>
        <w:t>The following agreement relates to any and all use of Controlled Substances that might be prescribed to me by a physician at Athens Spine Center. This type of medication is prescribed solely upon the medical findings and if it correlates with the treatment plan. I recognize that there are State &amp; Federal regulations regarding the use Controlled Substances that are followed by all the staff at Athens Spine Center. If I am provided Controlled Substances for the treatment of my chronic pain, they will only be prescribed while I am actively participating in the program and only if I adhere to the following regulations.</w:t>
      </w:r>
    </w:p>
    <w:p w:rsidR="00E37DF1" w:rsidRDefault="00372A38" w:rsidP="00372A38">
      <w:pPr>
        <w:pStyle w:val="ListParagraph"/>
        <w:numPr>
          <w:ilvl w:val="0"/>
          <w:numId w:val="8"/>
        </w:numPr>
        <w:jc w:val="both"/>
        <w:rPr>
          <w:rFonts w:ascii="Times New Roman" w:hAnsi="Times New Roman"/>
          <w:sz w:val="20"/>
          <w:szCs w:val="20"/>
        </w:rPr>
      </w:pPr>
      <w:r w:rsidRPr="00047BAF">
        <w:rPr>
          <w:rFonts w:ascii="Times New Roman" w:hAnsi="Times New Roman"/>
          <w:sz w:val="20"/>
          <w:szCs w:val="20"/>
        </w:rPr>
        <w:t xml:space="preserve">Any </w:t>
      </w:r>
      <w:r w:rsidR="0083120B">
        <w:rPr>
          <w:rFonts w:ascii="Times New Roman" w:hAnsi="Times New Roman"/>
          <w:sz w:val="20"/>
          <w:szCs w:val="20"/>
        </w:rPr>
        <w:t>medication</w:t>
      </w:r>
      <w:r w:rsidRPr="00047BAF">
        <w:rPr>
          <w:rFonts w:ascii="Times New Roman" w:hAnsi="Times New Roman"/>
          <w:sz w:val="20"/>
          <w:szCs w:val="20"/>
        </w:rPr>
        <w:t xml:space="preserve"> prescribed will be maintained within the parameters dictated by an Athens Spine Center physician. I will not deviate from the medication-dosing schedule, this includes increasing my dosage </w:t>
      </w:r>
      <w:r w:rsidR="0083120B">
        <w:rPr>
          <w:rFonts w:ascii="Times New Roman" w:hAnsi="Times New Roman"/>
          <w:sz w:val="20"/>
          <w:szCs w:val="20"/>
        </w:rPr>
        <w:t>or</w:t>
      </w:r>
      <w:r w:rsidRPr="00047BAF">
        <w:rPr>
          <w:rFonts w:ascii="Times New Roman" w:hAnsi="Times New Roman"/>
          <w:sz w:val="20"/>
          <w:szCs w:val="20"/>
        </w:rPr>
        <w:t xml:space="preserve"> abruptly stopping my dosage without authorization from th</w:t>
      </w:r>
      <w:r w:rsidR="00047BAF">
        <w:rPr>
          <w:rFonts w:ascii="Times New Roman" w:hAnsi="Times New Roman"/>
          <w:sz w:val="20"/>
          <w:szCs w:val="20"/>
        </w:rPr>
        <w:t>e Athens Spine Center physician.</w:t>
      </w:r>
    </w:p>
    <w:p w:rsidR="00755BF6" w:rsidRPr="00047BAF" w:rsidRDefault="00755BF6" w:rsidP="00372A38">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All medications </w:t>
      </w:r>
      <w:r w:rsidR="0083120B">
        <w:rPr>
          <w:rFonts w:ascii="Times New Roman" w:hAnsi="Times New Roman"/>
          <w:sz w:val="20"/>
          <w:szCs w:val="20"/>
        </w:rPr>
        <w:t>will</w:t>
      </w:r>
      <w:r>
        <w:rPr>
          <w:rFonts w:ascii="Times New Roman" w:hAnsi="Times New Roman"/>
          <w:sz w:val="20"/>
          <w:szCs w:val="20"/>
        </w:rPr>
        <w:t xml:space="preserve"> be kept up and out of the reach of any children or irresponsible adults.</w:t>
      </w:r>
    </w:p>
    <w:p w:rsidR="00047BAF" w:rsidRPr="00047BAF" w:rsidRDefault="00A34CBA" w:rsidP="00047BAF">
      <w:pPr>
        <w:pStyle w:val="ListParagraph"/>
        <w:numPr>
          <w:ilvl w:val="0"/>
          <w:numId w:val="8"/>
        </w:numPr>
        <w:jc w:val="both"/>
        <w:rPr>
          <w:rFonts w:ascii="Times New Roman" w:hAnsi="Times New Roman"/>
          <w:sz w:val="20"/>
          <w:szCs w:val="20"/>
        </w:rPr>
      </w:pPr>
      <w:r w:rsidRPr="00047BAF">
        <w:rPr>
          <w:rFonts w:ascii="Times New Roman" w:hAnsi="Times New Roman"/>
          <w:sz w:val="20"/>
          <w:szCs w:val="20"/>
        </w:rPr>
        <w:t>Controlled Substance prescriptions will not be refilled for ‘lost’ or ‘stolen’ medications, even with a police report. Refills will not be given before the next scheduled refill date due to the self-escalation of opioid usage.</w:t>
      </w:r>
    </w:p>
    <w:p w:rsidR="00047BAF" w:rsidRPr="00047BAF" w:rsidRDefault="00047BAF" w:rsidP="00372A38">
      <w:pPr>
        <w:pStyle w:val="ListParagraph"/>
        <w:numPr>
          <w:ilvl w:val="0"/>
          <w:numId w:val="8"/>
        </w:numPr>
        <w:jc w:val="both"/>
        <w:rPr>
          <w:rFonts w:ascii="Times New Roman" w:hAnsi="Times New Roman"/>
          <w:sz w:val="20"/>
          <w:szCs w:val="20"/>
        </w:rPr>
      </w:pPr>
      <w:r w:rsidRPr="00047BAF">
        <w:rPr>
          <w:rFonts w:ascii="Times New Roman" w:hAnsi="Times New Roman"/>
          <w:sz w:val="20"/>
          <w:szCs w:val="20"/>
        </w:rPr>
        <w:t>Prescriptions can only be given to the patient or an authorized representative. They cannot be mailed or picked up by someone not listed.</w:t>
      </w:r>
    </w:p>
    <w:p w:rsidR="00A34CBA" w:rsidRPr="00047BAF" w:rsidRDefault="00A34CBA" w:rsidP="00372A38">
      <w:pPr>
        <w:pStyle w:val="ListParagraph"/>
        <w:numPr>
          <w:ilvl w:val="0"/>
          <w:numId w:val="8"/>
        </w:numPr>
        <w:jc w:val="both"/>
        <w:rPr>
          <w:rFonts w:ascii="Times New Roman" w:hAnsi="Times New Roman"/>
          <w:sz w:val="20"/>
          <w:szCs w:val="20"/>
        </w:rPr>
      </w:pPr>
      <w:r w:rsidRPr="00047BAF">
        <w:rPr>
          <w:rFonts w:ascii="Times New Roman" w:hAnsi="Times New Roman"/>
          <w:sz w:val="20"/>
          <w:szCs w:val="20"/>
        </w:rPr>
        <w:t>I will accept the generic ver</w:t>
      </w:r>
      <w:r w:rsidR="00047BAF" w:rsidRPr="00047BAF">
        <w:rPr>
          <w:rFonts w:ascii="Times New Roman" w:hAnsi="Times New Roman"/>
          <w:sz w:val="20"/>
          <w:szCs w:val="20"/>
        </w:rPr>
        <w:t>sion of prescription medication</w:t>
      </w:r>
      <w:r w:rsidR="00755BF6">
        <w:rPr>
          <w:rFonts w:ascii="Times New Roman" w:hAnsi="Times New Roman"/>
          <w:sz w:val="20"/>
          <w:szCs w:val="20"/>
        </w:rPr>
        <w:t>.</w:t>
      </w:r>
    </w:p>
    <w:p w:rsidR="00047BAF" w:rsidRDefault="00047BAF" w:rsidP="00372A38">
      <w:pPr>
        <w:pStyle w:val="ListParagraph"/>
        <w:numPr>
          <w:ilvl w:val="0"/>
          <w:numId w:val="8"/>
        </w:numPr>
        <w:jc w:val="both"/>
        <w:rPr>
          <w:rFonts w:ascii="Times New Roman" w:hAnsi="Times New Roman"/>
          <w:sz w:val="20"/>
          <w:szCs w:val="20"/>
        </w:rPr>
      </w:pPr>
      <w:r w:rsidRPr="00047BAF">
        <w:rPr>
          <w:rFonts w:ascii="Times New Roman" w:hAnsi="Times New Roman"/>
          <w:sz w:val="20"/>
          <w:szCs w:val="20"/>
        </w:rPr>
        <w:t>I will receive controlled substances from Athens Spine Center</w:t>
      </w:r>
      <w:r w:rsidR="009547E9">
        <w:rPr>
          <w:rFonts w:ascii="Times New Roman" w:hAnsi="Times New Roman"/>
          <w:sz w:val="20"/>
          <w:szCs w:val="20"/>
        </w:rPr>
        <w:t xml:space="preserve"> </w:t>
      </w:r>
      <w:r w:rsidR="00715F7F">
        <w:rPr>
          <w:rFonts w:ascii="Times New Roman" w:hAnsi="Times New Roman"/>
          <w:b/>
          <w:sz w:val="20"/>
          <w:szCs w:val="20"/>
        </w:rPr>
        <w:t>only</w:t>
      </w:r>
      <w:r w:rsidRPr="00047BAF">
        <w:rPr>
          <w:rFonts w:ascii="Times New Roman" w:hAnsi="Times New Roman"/>
          <w:sz w:val="20"/>
          <w:szCs w:val="20"/>
        </w:rPr>
        <w:t xml:space="preserve">. </w:t>
      </w:r>
      <w:r>
        <w:rPr>
          <w:rFonts w:ascii="Times New Roman" w:hAnsi="Times New Roman"/>
          <w:sz w:val="20"/>
          <w:szCs w:val="20"/>
        </w:rPr>
        <w:t xml:space="preserve">I will alert Athens Spine Center if I have been hospitalized or gone to the Emergency Room and received any pain relieving medications. </w:t>
      </w:r>
      <w:r w:rsidR="009547E9">
        <w:rPr>
          <w:rFonts w:ascii="Times New Roman" w:hAnsi="Times New Roman"/>
          <w:sz w:val="20"/>
          <w:szCs w:val="20"/>
        </w:rPr>
        <w:t xml:space="preserve">Information that I have </w:t>
      </w:r>
      <w:r w:rsidR="00132A96">
        <w:rPr>
          <w:rFonts w:ascii="Times New Roman" w:hAnsi="Times New Roman"/>
          <w:sz w:val="20"/>
          <w:szCs w:val="20"/>
        </w:rPr>
        <w:t>filled a</w:t>
      </w:r>
      <w:r w:rsidR="009547E9">
        <w:rPr>
          <w:rFonts w:ascii="Times New Roman" w:hAnsi="Times New Roman"/>
          <w:sz w:val="20"/>
          <w:szCs w:val="20"/>
        </w:rPr>
        <w:t xml:space="preserve"> </w:t>
      </w:r>
      <w:r w:rsidR="00132A96">
        <w:rPr>
          <w:rFonts w:ascii="Times New Roman" w:hAnsi="Times New Roman"/>
          <w:sz w:val="20"/>
          <w:szCs w:val="20"/>
        </w:rPr>
        <w:t>pain medication prescription</w:t>
      </w:r>
      <w:r w:rsidR="009547E9">
        <w:rPr>
          <w:rFonts w:ascii="Times New Roman" w:hAnsi="Times New Roman"/>
          <w:sz w:val="20"/>
          <w:szCs w:val="20"/>
        </w:rPr>
        <w:t xml:space="preserve"> outside of Athens Spine Center </w:t>
      </w:r>
      <w:r w:rsidR="00361B17">
        <w:rPr>
          <w:rFonts w:ascii="Times New Roman" w:hAnsi="Times New Roman"/>
          <w:sz w:val="20"/>
          <w:szCs w:val="20"/>
        </w:rPr>
        <w:t>could</w:t>
      </w:r>
      <w:r w:rsidR="009547E9">
        <w:rPr>
          <w:rFonts w:ascii="Times New Roman" w:hAnsi="Times New Roman"/>
          <w:sz w:val="20"/>
          <w:szCs w:val="20"/>
        </w:rPr>
        <w:t xml:space="preserve"> lead to a discontinuation of treatment</w:t>
      </w:r>
    </w:p>
    <w:p w:rsidR="000F21DF" w:rsidRDefault="000F21DF" w:rsidP="00372A38">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I will not take any illegal drugs or medications prescribed to an individual other than myself. I will also not give any prescribed medications to another person. The use of alcohol </w:t>
      </w:r>
      <w:r w:rsidR="00F17B18">
        <w:rPr>
          <w:rFonts w:ascii="Times New Roman" w:hAnsi="Times New Roman"/>
          <w:sz w:val="20"/>
          <w:szCs w:val="20"/>
        </w:rPr>
        <w:t>with</w:t>
      </w:r>
      <w:r>
        <w:rPr>
          <w:rFonts w:ascii="Times New Roman" w:hAnsi="Times New Roman"/>
          <w:sz w:val="20"/>
          <w:szCs w:val="20"/>
        </w:rPr>
        <w:t xml:space="preserve"> narcotic prescriptions is against clinic policy. Do not take any sedatives without first alerting the prescribing physician that you are on a narcotic.</w:t>
      </w:r>
    </w:p>
    <w:p w:rsidR="00715F7F" w:rsidRPr="00715F7F" w:rsidRDefault="00715F7F" w:rsidP="00715F7F">
      <w:pPr>
        <w:numPr>
          <w:ilvl w:val="0"/>
          <w:numId w:val="8"/>
        </w:numPr>
        <w:jc w:val="both"/>
        <w:rPr>
          <w:rFonts w:ascii="Times New Roman" w:hAnsi="Times New Roman"/>
          <w:b/>
        </w:rPr>
      </w:pPr>
      <w:r w:rsidRPr="008311E8">
        <w:rPr>
          <w:rFonts w:ascii="Times New Roman" w:hAnsi="Times New Roman"/>
          <w:b/>
        </w:rPr>
        <w:t>I understand that if illegal substances or undisclosed prescribed medications not approved by the physicians of Athens Spine Center are detected in the urine</w:t>
      </w:r>
      <w:r w:rsidR="00F17B18">
        <w:rPr>
          <w:rFonts w:ascii="Times New Roman" w:hAnsi="Times New Roman"/>
          <w:b/>
        </w:rPr>
        <w:t>, saliva</w:t>
      </w:r>
      <w:r w:rsidRPr="008311E8">
        <w:rPr>
          <w:rFonts w:ascii="Times New Roman" w:hAnsi="Times New Roman"/>
          <w:b/>
        </w:rPr>
        <w:t xml:space="preserve"> or blood screen I may be terminated as an existing patient of Athens Spine Center. </w:t>
      </w:r>
    </w:p>
    <w:p w:rsidR="009547E9" w:rsidRPr="008311E8" w:rsidRDefault="009547E9" w:rsidP="009547E9">
      <w:pPr>
        <w:numPr>
          <w:ilvl w:val="0"/>
          <w:numId w:val="8"/>
        </w:numPr>
        <w:jc w:val="both"/>
        <w:rPr>
          <w:rFonts w:ascii="Times New Roman" w:hAnsi="Times New Roman"/>
        </w:rPr>
      </w:pPr>
      <w:r w:rsidRPr="008311E8">
        <w:rPr>
          <w:rFonts w:ascii="Times New Roman" w:hAnsi="Times New Roman"/>
        </w:rPr>
        <w:t>I will notify Athens Spine Center if I am considering pregnancy or become pregnant.</w:t>
      </w:r>
    </w:p>
    <w:p w:rsidR="009547E9" w:rsidRDefault="009547E9" w:rsidP="00372A38">
      <w:pPr>
        <w:pStyle w:val="ListParagraph"/>
        <w:numPr>
          <w:ilvl w:val="0"/>
          <w:numId w:val="8"/>
        </w:numPr>
        <w:jc w:val="both"/>
        <w:rPr>
          <w:rFonts w:ascii="Times New Roman" w:hAnsi="Times New Roman"/>
          <w:sz w:val="20"/>
          <w:szCs w:val="20"/>
        </w:rPr>
      </w:pPr>
      <w:r>
        <w:rPr>
          <w:rFonts w:ascii="Times New Roman" w:hAnsi="Times New Roman"/>
          <w:sz w:val="20"/>
          <w:szCs w:val="20"/>
        </w:rPr>
        <w:t xml:space="preserve">I understand that opioids have the ability to cause drowsiness which can impair motor skills. </w:t>
      </w:r>
      <w:r w:rsidR="00755BF6">
        <w:rPr>
          <w:rFonts w:ascii="Times New Roman" w:hAnsi="Times New Roman"/>
          <w:sz w:val="20"/>
          <w:szCs w:val="20"/>
        </w:rPr>
        <w:t>I understand that caution is urged when driving a motor vehicle or operating other heavy machinery.</w:t>
      </w:r>
      <w:r w:rsidR="00DD39F1">
        <w:rPr>
          <w:rFonts w:ascii="Times New Roman" w:hAnsi="Times New Roman"/>
          <w:sz w:val="20"/>
          <w:szCs w:val="20"/>
        </w:rPr>
        <w:t xml:space="preserve"> I agree to refrain from driving or operating dangerous equipment for 72-hours after any change in medication dosage.</w:t>
      </w:r>
    </w:p>
    <w:p w:rsidR="00DD39F1" w:rsidRDefault="00DD39F1" w:rsidP="00372A38">
      <w:pPr>
        <w:pStyle w:val="ListParagraph"/>
        <w:numPr>
          <w:ilvl w:val="0"/>
          <w:numId w:val="8"/>
        </w:numPr>
        <w:jc w:val="both"/>
        <w:rPr>
          <w:rFonts w:ascii="Times New Roman" w:hAnsi="Times New Roman"/>
          <w:sz w:val="20"/>
          <w:szCs w:val="20"/>
        </w:rPr>
      </w:pPr>
      <w:r>
        <w:rPr>
          <w:rFonts w:ascii="Times New Roman" w:hAnsi="Times New Roman"/>
          <w:sz w:val="20"/>
          <w:szCs w:val="20"/>
        </w:rPr>
        <w:t>I understand that Controlled Substances can cause a variety of side effects including but not limited to: nausea, vomiting, constipation, dry mouth, weight changes, suppressed immune system, allergic reactions, and blood chemistry imbalances. There is also a risk that of becoming physically dependent or addicted.</w:t>
      </w:r>
    </w:p>
    <w:p w:rsidR="00132A96" w:rsidRPr="008311E8" w:rsidRDefault="00132A96" w:rsidP="00132A96">
      <w:pPr>
        <w:numPr>
          <w:ilvl w:val="0"/>
          <w:numId w:val="8"/>
        </w:numPr>
        <w:jc w:val="both"/>
        <w:rPr>
          <w:rFonts w:ascii="Times New Roman" w:hAnsi="Times New Roman"/>
        </w:rPr>
      </w:pPr>
      <w:r w:rsidRPr="008311E8">
        <w:rPr>
          <w:rFonts w:ascii="Times New Roman" w:hAnsi="Times New Roman"/>
        </w:rPr>
        <w:t>If it appears to the physician that there are no demonstrable benefits to my daily function or quality of life from the controlled substance, I will gradually taper my medication as prescribed by the physician.  I will not hold any member of Athens Spine Center liable for problems caused by discontinuance of controlled substances, provided that I receive 30 days’ notice of termination.</w:t>
      </w:r>
    </w:p>
    <w:p w:rsidR="00541557" w:rsidRPr="008311E8" w:rsidRDefault="00541557" w:rsidP="00541557">
      <w:pPr>
        <w:numPr>
          <w:ilvl w:val="0"/>
          <w:numId w:val="8"/>
        </w:numPr>
        <w:jc w:val="both"/>
        <w:rPr>
          <w:rFonts w:ascii="Times New Roman" w:hAnsi="Times New Roman"/>
          <w:b/>
        </w:rPr>
      </w:pPr>
      <w:r>
        <w:rPr>
          <w:rFonts w:ascii="Times New Roman" w:hAnsi="Times New Roman"/>
          <w:b/>
        </w:rPr>
        <w:t>I a</w:t>
      </w:r>
      <w:r w:rsidRPr="008311E8">
        <w:rPr>
          <w:rFonts w:ascii="Times New Roman" w:hAnsi="Times New Roman"/>
          <w:b/>
        </w:rPr>
        <w:t>uthorize Athens Spine Center to disclose, request and/or use information concerning my medical history (</w:t>
      </w:r>
      <w:r w:rsidRPr="008311E8">
        <w:rPr>
          <w:rFonts w:ascii="Times New Roman" w:hAnsi="Times New Roman"/>
          <w:b/>
          <w:i/>
          <w:smallCaps/>
          <w:color w:val="000000"/>
        </w:rPr>
        <w:t>including medication history</w:t>
      </w:r>
      <w:r w:rsidRPr="008311E8">
        <w:rPr>
          <w:rFonts w:ascii="Times New Roman" w:hAnsi="Times New Roman"/>
          <w:b/>
        </w:rPr>
        <w:t>) from pharmacies, insurance companies, healthcare operations, and/or other physicians.  This authorization will</w:t>
      </w:r>
      <w:r>
        <w:rPr>
          <w:rFonts w:ascii="Times New Roman" w:hAnsi="Times New Roman"/>
          <w:b/>
        </w:rPr>
        <w:t xml:space="preserve"> be effective as long as I am an active </w:t>
      </w:r>
      <w:r w:rsidRPr="008311E8">
        <w:rPr>
          <w:rFonts w:ascii="Times New Roman" w:hAnsi="Times New Roman"/>
          <w:b/>
        </w:rPr>
        <w:t xml:space="preserve">patient of Athens Spine Center and will be revoked upon </w:t>
      </w:r>
      <w:r>
        <w:rPr>
          <w:rFonts w:ascii="Times New Roman" w:hAnsi="Times New Roman"/>
          <w:b/>
        </w:rPr>
        <w:t xml:space="preserve">my </w:t>
      </w:r>
      <w:r w:rsidRPr="008311E8">
        <w:rPr>
          <w:rFonts w:ascii="Times New Roman" w:hAnsi="Times New Roman"/>
          <w:b/>
        </w:rPr>
        <w:t xml:space="preserve">termination as a patient of Athens Spine Center.  </w:t>
      </w:r>
    </w:p>
    <w:p w:rsidR="00D65E71" w:rsidRDefault="00D65E71" w:rsidP="00BC3F35">
      <w:pPr>
        <w:numPr>
          <w:ilvl w:val="0"/>
          <w:numId w:val="6"/>
        </w:numPr>
        <w:jc w:val="both"/>
        <w:rPr>
          <w:rFonts w:ascii="Times New Roman" w:hAnsi="Times New Roman"/>
        </w:rPr>
      </w:pPr>
      <w:r w:rsidRPr="008311E8">
        <w:rPr>
          <w:rFonts w:ascii="Times New Roman" w:hAnsi="Times New Roman"/>
        </w:rPr>
        <w:t xml:space="preserve">I agree to submit to </w:t>
      </w:r>
      <w:r w:rsidR="00002737">
        <w:rPr>
          <w:rFonts w:ascii="Times New Roman" w:hAnsi="Times New Roman"/>
        </w:rPr>
        <w:t xml:space="preserve">any drug screening dictated by my physician. This includes but is not limited to: random pill counts, </w:t>
      </w:r>
      <w:r w:rsidRPr="008311E8">
        <w:rPr>
          <w:rFonts w:ascii="Times New Roman" w:hAnsi="Times New Roman"/>
        </w:rPr>
        <w:t>urine</w:t>
      </w:r>
      <w:r w:rsidR="00990270">
        <w:rPr>
          <w:rFonts w:ascii="Times New Roman" w:hAnsi="Times New Roman"/>
        </w:rPr>
        <w:t>, saliva</w:t>
      </w:r>
      <w:r w:rsidRPr="008311E8">
        <w:rPr>
          <w:rFonts w:ascii="Times New Roman" w:hAnsi="Times New Roman"/>
        </w:rPr>
        <w:t xml:space="preserve"> </w:t>
      </w:r>
      <w:r w:rsidR="00990270">
        <w:rPr>
          <w:rFonts w:ascii="Times New Roman" w:hAnsi="Times New Roman"/>
        </w:rPr>
        <w:t>a</w:t>
      </w:r>
      <w:r w:rsidRPr="008311E8">
        <w:rPr>
          <w:rFonts w:ascii="Times New Roman" w:hAnsi="Times New Roman"/>
        </w:rPr>
        <w:t>nd blood screens</w:t>
      </w:r>
      <w:r w:rsidR="00002737">
        <w:rPr>
          <w:rFonts w:ascii="Times New Roman" w:hAnsi="Times New Roman"/>
        </w:rPr>
        <w:t xml:space="preserve"> </w:t>
      </w:r>
      <w:r w:rsidR="00D51AE4">
        <w:rPr>
          <w:rFonts w:ascii="Times New Roman" w:hAnsi="Times New Roman"/>
        </w:rPr>
        <w:t>which</w:t>
      </w:r>
      <w:r w:rsidR="00002737">
        <w:rPr>
          <w:rFonts w:ascii="Times New Roman" w:hAnsi="Times New Roman"/>
        </w:rPr>
        <w:t xml:space="preserve"> are used</w:t>
      </w:r>
      <w:r w:rsidRPr="008311E8">
        <w:rPr>
          <w:rFonts w:ascii="Times New Roman" w:hAnsi="Times New Roman"/>
        </w:rPr>
        <w:t xml:space="preserve"> to detect the use of </w:t>
      </w:r>
      <w:r w:rsidR="00910624" w:rsidRPr="008311E8">
        <w:rPr>
          <w:rFonts w:ascii="Times New Roman" w:hAnsi="Times New Roman"/>
        </w:rPr>
        <w:t xml:space="preserve">both prescribed and </w:t>
      </w:r>
      <w:r w:rsidRPr="008311E8">
        <w:rPr>
          <w:rFonts w:ascii="Times New Roman" w:hAnsi="Times New Roman"/>
        </w:rPr>
        <w:t>non-prescribed medications at any time.</w:t>
      </w:r>
      <w:bookmarkStart w:id="0" w:name="_GoBack"/>
      <w:bookmarkEnd w:id="0"/>
    </w:p>
    <w:p w:rsidR="003706A7" w:rsidRPr="008311E8" w:rsidRDefault="003706A7" w:rsidP="003706A7">
      <w:pPr>
        <w:numPr>
          <w:ilvl w:val="0"/>
          <w:numId w:val="6"/>
        </w:numPr>
        <w:jc w:val="both"/>
        <w:rPr>
          <w:rFonts w:ascii="Times New Roman" w:hAnsi="Times New Roman"/>
        </w:rPr>
      </w:pPr>
      <w:r w:rsidRPr="008311E8">
        <w:rPr>
          <w:rFonts w:ascii="Times New Roman" w:hAnsi="Times New Roman"/>
        </w:rPr>
        <w:t>I understand that if I miss two appointments, I may be discharged from the care/management of Athens Spine Center.</w:t>
      </w:r>
    </w:p>
    <w:p w:rsidR="00D65E71" w:rsidRPr="00322BC1" w:rsidRDefault="00D65E71" w:rsidP="00BC3F35">
      <w:pPr>
        <w:numPr>
          <w:ilvl w:val="0"/>
          <w:numId w:val="6"/>
        </w:numPr>
        <w:jc w:val="both"/>
        <w:rPr>
          <w:rFonts w:ascii="Times New Roman" w:hAnsi="Times New Roman"/>
          <w:sz w:val="22"/>
          <w:szCs w:val="22"/>
        </w:rPr>
      </w:pPr>
      <w:r w:rsidRPr="008311E8">
        <w:rPr>
          <w:rFonts w:ascii="Times New Roman" w:hAnsi="Times New Roman"/>
        </w:rPr>
        <w:t>I recognize that my chronic pain represents a complex problem which may benefit from physical therapy, psychotherapy and behavioral medicine strategies.  I also recognize that my active participation in the management of my pain is extremely important.  I agree to actively participate in all aspects in the Pain Management Program to secure increased functioning and improved coping with my condition.</w:t>
      </w:r>
    </w:p>
    <w:p w:rsidR="00660759" w:rsidRDefault="00660759" w:rsidP="00E9715D">
      <w:pPr>
        <w:spacing w:before="120" w:after="120"/>
        <w:ind w:left="0"/>
        <w:jc w:val="both"/>
        <w:rPr>
          <w:rFonts w:ascii="Times New Roman" w:hAnsi="Times New Roman"/>
        </w:rPr>
      </w:pPr>
      <w:r>
        <w:rPr>
          <w:rFonts w:ascii="Times New Roman" w:hAnsi="Times New Roman"/>
          <w:b/>
          <w:bCs/>
          <w:u w:val="single"/>
        </w:rPr>
        <w:t>Georgia Pain Rule 360-36-.6</w:t>
      </w:r>
      <w:r>
        <w:rPr>
          <w:rFonts w:ascii="Times New Roman" w:hAnsi="Times New Roman"/>
        </w:rPr>
        <w:t xml:space="preserve"> dictates that any physician in the state of Georgia who prescribes pain medication </w:t>
      </w:r>
      <w:r w:rsidR="00361936">
        <w:rPr>
          <w:rFonts w:ascii="Times New Roman" w:hAnsi="Times New Roman"/>
        </w:rPr>
        <w:t xml:space="preserve">(controlled substances) </w:t>
      </w:r>
      <w:r>
        <w:rPr>
          <w:rFonts w:ascii="Times New Roman" w:hAnsi="Times New Roman"/>
        </w:rPr>
        <w:t>for 90 days must monitor that patient for medication usage.  Patients are required to comply with this mandatory testing either during a scheduled office visit or by coming into the office for the sole purpose of drug screening within any 90 day period.  Patients are responsible for checking with their insurance carrier regarding any co-payments or deductibles that apply to medicati</w:t>
      </w:r>
      <w:r w:rsidR="007E4BD5">
        <w:rPr>
          <w:rFonts w:ascii="Times New Roman" w:hAnsi="Times New Roman"/>
        </w:rPr>
        <w:t>on monitoring/drug screenings.</w:t>
      </w:r>
    </w:p>
    <w:p w:rsidR="00660759" w:rsidRPr="00E7729E" w:rsidRDefault="00660759" w:rsidP="00D51AE4">
      <w:pPr>
        <w:pStyle w:val="ListParagraph"/>
        <w:numPr>
          <w:ilvl w:val="0"/>
          <w:numId w:val="7"/>
        </w:numPr>
        <w:spacing w:after="240"/>
        <w:jc w:val="both"/>
        <w:rPr>
          <w:color w:val="1F497D"/>
          <w:sz w:val="20"/>
          <w:szCs w:val="20"/>
        </w:rPr>
      </w:pPr>
      <w:r w:rsidRPr="00E7729E">
        <w:rPr>
          <w:rFonts w:ascii="Times New Roman" w:hAnsi="Times New Roman"/>
          <w:sz w:val="20"/>
          <w:szCs w:val="20"/>
        </w:rPr>
        <w:t xml:space="preserve">I understand GA Pain Rule </w:t>
      </w:r>
      <w:r w:rsidR="00831915" w:rsidRPr="00E7729E">
        <w:rPr>
          <w:rFonts w:ascii="Times New Roman" w:hAnsi="Times New Roman"/>
          <w:sz w:val="20"/>
          <w:szCs w:val="20"/>
        </w:rPr>
        <w:t>3</w:t>
      </w:r>
      <w:r w:rsidRPr="00E7729E">
        <w:rPr>
          <w:rFonts w:ascii="Times New Roman" w:hAnsi="Times New Roman"/>
          <w:sz w:val="20"/>
          <w:szCs w:val="20"/>
        </w:rPr>
        <w:t>60-36-.6 and will comply with any request for testing.  I understand that non-compliance results in dismissal as a patient or discontinuation of prescriptions of controlled substances.</w:t>
      </w:r>
    </w:p>
    <w:p w:rsidR="00BC3F35" w:rsidRDefault="00BC3F35" w:rsidP="00BC3F35">
      <w:pPr>
        <w:ind w:left="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6826DD">
        <w:rPr>
          <w:rFonts w:ascii="Times New Roman" w:hAnsi="Times New Roman"/>
          <w:sz w:val="24"/>
          <w:szCs w:val="24"/>
          <w:u w:val="single"/>
        </w:rPr>
        <w:tab/>
      </w:r>
      <w:r w:rsidR="00407234">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E5421" w:rsidRPr="00541557" w:rsidRDefault="00BC3F35">
      <w:pPr>
        <w:ind w:left="0"/>
        <w:rPr>
          <w:rFonts w:ascii="Verdana" w:hAnsi="Verdana"/>
          <w:i/>
          <w:sz w:val="12"/>
          <w:szCs w:val="12"/>
        </w:rPr>
      </w:pPr>
      <w:r w:rsidRPr="00FA4622">
        <w:rPr>
          <w:rFonts w:ascii="Verdana" w:hAnsi="Verdana"/>
          <w:i/>
          <w:sz w:val="12"/>
          <w:szCs w:val="12"/>
        </w:rPr>
        <w:t xml:space="preserve">Patient </w:t>
      </w:r>
      <w:r w:rsidR="00DD63F0" w:rsidRPr="00FA4622">
        <w:rPr>
          <w:rFonts w:ascii="Verdana" w:hAnsi="Verdana"/>
          <w:i/>
          <w:sz w:val="12"/>
          <w:szCs w:val="12"/>
        </w:rPr>
        <w:t>or Guard</w:t>
      </w:r>
      <w:r w:rsidR="006826DD">
        <w:rPr>
          <w:rFonts w:ascii="Verdana" w:hAnsi="Verdana"/>
          <w:i/>
          <w:sz w:val="12"/>
          <w:szCs w:val="12"/>
        </w:rPr>
        <w:t>i</w:t>
      </w:r>
      <w:r w:rsidR="00541557">
        <w:rPr>
          <w:rFonts w:ascii="Verdana" w:hAnsi="Verdana"/>
          <w:i/>
          <w:sz w:val="12"/>
          <w:szCs w:val="12"/>
        </w:rPr>
        <w:t xml:space="preserve">an (with defined relationship) </w:t>
      </w:r>
      <w:r w:rsidR="00DD63F0" w:rsidRPr="00FA4622">
        <w:rPr>
          <w:rFonts w:ascii="Verdana" w:hAnsi="Verdana"/>
          <w:i/>
          <w:sz w:val="12"/>
          <w:szCs w:val="12"/>
        </w:rPr>
        <w:t>Signature</w:t>
      </w:r>
      <w:r w:rsidR="00CE5421">
        <w:rPr>
          <w:rFonts w:ascii="Verdana" w:hAnsi="Verdana"/>
          <w:i/>
          <w:sz w:val="12"/>
          <w:szCs w:val="12"/>
        </w:rPr>
        <w:t>**</w:t>
      </w:r>
      <w:r w:rsidRPr="00FA4622">
        <w:rPr>
          <w:rFonts w:ascii="Verdana" w:hAnsi="Verdana"/>
          <w:i/>
          <w:sz w:val="12"/>
          <w:szCs w:val="12"/>
        </w:rPr>
        <w:tab/>
      </w:r>
      <w:r w:rsidR="00DD63F0" w:rsidRPr="00FA4622">
        <w:rPr>
          <w:rFonts w:ascii="Verdana" w:hAnsi="Verdana"/>
          <w:i/>
          <w:sz w:val="12"/>
          <w:szCs w:val="12"/>
        </w:rPr>
        <w:tab/>
      </w:r>
      <w:r w:rsidR="00DD63F0" w:rsidRPr="00FA4622">
        <w:rPr>
          <w:rFonts w:ascii="Verdana" w:hAnsi="Verdana"/>
          <w:i/>
          <w:sz w:val="12"/>
          <w:szCs w:val="12"/>
        </w:rPr>
        <w:tab/>
      </w:r>
      <w:r w:rsidR="00FA4622">
        <w:rPr>
          <w:rFonts w:ascii="Verdana" w:hAnsi="Verdana"/>
          <w:i/>
          <w:sz w:val="12"/>
          <w:szCs w:val="12"/>
        </w:rPr>
        <w:tab/>
      </w:r>
      <w:r w:rsidR="00FA4622">
        <w:rPr>
          <w:rFonts w:ascii="Verdana" w:hAnsi="Verdana"/>
          <w:i/>
          <w:sz w:val="12"/>
          <w:szCs w:val="12"/>
        </w:rPr>
        <w:tab/>
      </w:r>
      <w:r w:rsidR="006826DD">
        <w:rPr>
          <w:rFonts w:ascii="Verdana" w:hAnsi="Verdana"/>
          <w:i/>
          <w:sz w:val="12"/>
          <w:szCs w:val="12"/>
        </w:rPr>
        <w:tab/>
      </w:r>
      <w:r w:rsidR="00407234">
        <w:rPr>
          <w:rFonts w:ascii="Verdana" w:hAnsi="Verdana"/>
          <w:i/>
          <w:sz w:val="12"/>
          <w:szCs w:val="12"/>
        </w:rPr>
        <w:tab/>
      </w:r>
      <w:r w:rsidRPr="00FA4622">
        <w:rPr>
          <w:rFonts w:ascii="Verdana" w:hAnsi="Verdana"/>
          <w:i/>
          <w:sz w:val="12"/>
          <w:szCs w:val="12"/>
        </w:rPr>
        <w:t>Date</w:t>
      </w:r>
    </w:p>
    <w:sectPr w:rsidR="00CE5421" w:rsidRPr="00541557" w:rsidSect="00541557">
      <w:headerReference w:type="default" r:id="rId8"/>
      <w:footerReference w:type="default" r:id="rId9"/>
      <w:pgSz w:w="12240" w:h="15840"/>
      <w:pgMar w:top="720" w:right="720" w:bottom="720" w:left="720" w:header="720" w:footer="1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2E" w:rsidRDefault="004B182E">
      <w:r>
        <w:separator/>
      </w:r>
    </w:p>
  </w:endnote>
  <w:endnote w:type="continuationSeparator" w:id="0">
    <w:p w:rsidR="004B182E" w:rsidRDefault="004B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3B" w:rsidRPr="008B0392" w:rsidRDefault="00C46683" w:rsidP="00B84906">
    <w:pPr>
      <w:pStyle w:val="Header"/>
      <w:tabs>
        <w:tab w:val="clear" w:pos="8640"/>
        <w:tab w:val="right" w:pos="10800"/>
      </w:tabs>
      <w:ind w:left="0"/>
      <w:rPr>
        <w:rFonts w:ascii="Calibri" w:hAnsi="Calibri"/>
        <w:sz w:val="16"/>
        <w:szCs w:val="16"/>
        <w:lang w:val="en-US"/>
      </w:rPr>
    </w:pPr>
    <w:r w:rsidRPr="00A811DA">
      <w:rPr>
        <w:rFonts w:ascii="Calibri" w:hAnsi="Calibri"/>
        <w:sz w:val="16"/>
        <w:szCs w:val="16"/>
      </w:rPr>
      <w:t>S:/FormsPDF/PatientForms</w:t>
    </w:r>
    <w:r w:rsidR="0067633B" w:rsidRPr="00A811DA">
      <w:rPr>
        <w:rFonts w:ascii="Calibri" w:hAnsi="Calibri"/>
        <w:sz w:val="16"/>
        <w:szCs w:val="16"/>
      </w:rPr>
      <w:t>/contr</w:t>
    </w:r>
    <w:r w:rsidR="00B84906" w:rsidRPr="00A811DA">
      <w:rPr>
        <w:rFonts w:ascii="Calibri" w:hAnsi="Calibri"/>
        <w:sz w:val="16"/>
        <w:szCs w:val="16"/>
      </w:rPr>
      <w:t>olled substance agreement</w:t>
    </w:r>
    <w:r w:rsidR="00B84906" w:rsidRPr="00A811DA">
      <w:rPr>
        <w:rFonts w:ascii="Calibri" w:hAnsi="Calibri"/>
        <w:sz w:val="16"/>
        <w:szCs w:val="16"/>
      </w:rPr>
      <w:tab/>
    </w:r>
    <w:r w:rsidR="00B84906" w:rsidRPr="00A811DA">
      <w:rPr>
        <w:rFonts w:ascii="Calibri" w:hAnsi="Calibri"/>
        <w:sz w:val="16"/>
        <w:szCs w:val="16"/>
      </w:rPr>
      <w:tab/>
      <w:t xml:space="preserve">Revised </w:t>
    </w:r>
    <w:r w:rsidR="00D51AE4">
      <w:rPr>
        <w:rFonts w:ascii="Calibri" w:hAnsi="Calibri"/>
        <w:sz w:val="16"/>
        <w:szCs w:val="16"/>
        <w:lang w:val="en-US"/>
      </w:rPr>
      <w:t>10/18/2016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2E" w:rsidRDefault="004B182E">
      <w:r>
        <w:separator/>
      </w:r>
    </w:p>
  </w:footnote>
  <w:footnote w:type="continuationSeparator" w:id="0">
    <w:p w:rsidR="004B182E" w:rsidRDefault="004B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DF" w:rsidRPr="00455356" w:rsidRDefault="000F21DF" w:rsidP="000F21DF">
    <w:pPr>
      <w:ind w:left="1620"/>
      <w:rPr>
        <w:b/>
        <w:sz w:val="15"/>
        <w:szCs w:val="15"/>
      </w:rPr>
    </w:pPr>
    <w:r w:rsidRPr="00AE1032">
      <w:rPr>
        <w:noProof/>
      </w:rPr>
      <w:drawing>
        <wp:anchor distT="0" distB="0" distL="114300" distR="114300" simplePos="0" relativeHeight="251658240" behindDoc="0" locked="0" layoutInCell="1" allowOverlap="1" wp14:anchorId="1CA3647E" wp14:editId="4352E846">
          <wp:simplePos x="0" y="0"/>
          <wp:positionH relativeFrom="column">
            <wp:posOffset>0</wp:posOffset>
          </wp:positionH>
          <wp:positionV relativeFrom="paragraph">
            <wp:posOffset>-110841</wp:posOffset>
          </wp:positionV>
          <wp:extent cx="1009650" cy="952500"/>
          <wp:effectExtent l="0" t="0" r="0" b="0"/>
          <wp:wrapNone/>
          <wp:docPr id="9" name="Picture 0" descr="ASC logo blk_sized_dow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C logo blk_sized_dow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anchor>
      </w:drawing>
    </w:r>
    <w:r w:rsidRPr="00455356">
      <w:rPr>
        <w:b/>
        <w:sz w:val="15"/>
        <w:szCs w:val="15"/>
      </w:rPr>
      <w:t>William H. Megdal, M.D.</w:t>
    </w:r>
  </w:p>
  <w:p w:rsidR="000F21DF" w:rsidRDefault="000F21DF" w:rsidP="000F21DF">
    <w:pPr>
      <w:ind w:left="1620"/>
      <w:rPr>
        <w:b/>
        <w:sz w:val="15"/>
        <w:szCs w:val="15"/>
      </w:rPr>
    </w:pPr>
    <w:r w:rsidRPr="00455356">
      <w:rPr>
        <w:b/>
        <w:sz w:val="15"/>
        <w:szCs w:val="15"/>
      </w:rPr>
      <w:t>Benjamin E. McCurdy, M.D.</w:t>
    </w:r>
  </w:p>
  <w:p w:rsidR="000F21DF" w:rsidRPr="00455356" w:rsidRDefault="000F21DF" w:rsidP="000F21DF">
    <w:pPr>
      <w:ind w:left="1620"/>
      <w:rPr>
        <w:b/>
        <w:sz w:val="15"/>
        <w:szCs w:val="15"/>
      </w:rPr>
    </w:pPr>
    <w:r>
      <w:rPr>
        <w:b/>
        <w:sz w:val="15"/>
        <w:szCs w:val="15"/>
      </w:rPr>
      <w:t>Daniel S. Thomas, M.D.</w:t>
    </w:r>
  </w:p>
  <w:p w:rsidR="000F21DF" w:rsidRPr="00F339A0" w:rsidRDefault="000F21DF" w:rsidP="000F21DF">
    <w:pPr>
      <w:ind w:left="1620"/>
      <w:rPr>
        <w:b/>
        <w:sz w:val="14"/>
        <w:szCs w:val="14"/>
      </w:rPr>
    </w:pPr>
    <w:r w:rsidRPr="00F339A0">
      <w:rPr>
        <w:b/>
        <w:sz w:val="14"/>
        <w:szCs w:val="14"/>
      </w:rPr>
      <w:t>8</w:t>
    </w:r>
    <w:r>
      <w:rPr>
        <w:b/>
        <w:sz w:val="14"/>
        <w:szCs w:val="14"/>
      </w:rPr>
      <w:t>30</w:t>
    </w:r>
    <w:r w:rsidRPr="00F339A0">
      <w:rPr>
        <w:b/>
        <w:sz w:val="14"/>
        <w:szCs w:val="14"/>
      </w:rPr>
      <w:t xml:space="preserve"> King Avenue</w:t>
    </w:r>
    <w:r w:rsidRPr="00F339A0">
      <w:rPr>
        <w:b/>
        <w:sz w:val="14"/>
        <w:szCs w:val="14"/>
      </w:rPr>
      <w:tab/>
    </w:r>
  </w:p>
  <w:p w:rsidR="000F21DF" w:rsidRPr="00F339A0" w:rsidRDefault="000F21DF" w:rsidP="000F21DF">
    <w:pPr>
      <w:ind w:left="1620"/>
      <w:rPr>
        <w:b/>
        <w:sz w:val="14"/>
        <w:szCs w:val="14"/>
      </w:rPr>
    </w:pPr>
    <w:r w:rsidRPr="00F339A0">
      <w:rPr>
        <w:b/>
        <w:sz w:val="14"/>
        <w:szCs w:val="14"/>
      </w:rPr>
      <w:t>Athens Georgia  30606</w:t>
    </w:r>
  </w:p>
  <w:p w:rsidR="000F21DF" w:rsidRPr="00455356" w:rsidRDefault="000F21DF" w:rsidP="000F21DF">
    <w:pPr>
      <w:ind w:left="1620"/>
      <w:rPr>
        <w:b/>
        <w:sz w:val="12"/>
        <w:szCs w:val="12"/>
      </w:rPr>
    </w:pPr>
    <w:r w:rsidRPr="00455356">
      <w:rPr>
        <w:b/>
        <w:sz w:val="12"/>
        <w:szCs w:val="12"/>
      </w:rPr>
      <w:t>(706) 425-2400 Office</w:t>
    </w:r>
  </w:p>
  <w:p w:rsidR="000F21DF" w:rsidRPr="00455356" w:rsidRDefault="000F21DF" w:rsidP="000F21DF">
    <w:pPr>
      <w:ind w:left="1620"/>
      <w:rPr>
        <w:b/>
        <w:sz w:val="12"/>
        <w:szCs w:val="12"/>
      </w:rPr>
    </w:pPr>
    <w:r w:rsidRPr="00455356">
      <w:rPr>
        <w:b/>
        <w:sz w:val="12"/>
        <w:szCs w:val="12"/>
      </w:rPr>
      <w:t>(706) 425-2410 Fax</w:t>
    </w:r>
  </w:p>
  <w:p w:rsidR="0067633B" w:rsidRPr="0067633B" w:rsidRDefault="0067633B" w:rsidP="0067633B">
    <w:pPr>
      <w:ind w:left="0"/>
      <w:rPr>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4F4"/>
    <w:multiLevelType w:val="multilevel"/>
    <w:tmpl w:val="F2E6062C"/>
    <w:lvl w:ilvl="0">
      <w:start w:val="1"/>
      <w:numFmt w:val="bullet"/>
      <w:lvlText w:val=""/>
      <w:lvlJc w:val="left"/>
      <w:pPr>
        <w:tabs>
          <w:tab w:val="num" w:pos="2275"/>
        </w:tabs>
        <w:ind w:left="2275" w:hanging="360"/>
      </w:pPr>
      <w:rPr>
        <w:rFonts w:ascii="Wingdings" w:hAnsi="Wingdings" w:hint="default"/>
      </w:rPr>
    </w:lvl>
    <w:lvl w:ilvl="1">
      <w:start w:val="1"/>
      <w:numFmt w:val="bullet"/>
      <w:lvlText w:val="o"/>
      <w:lvlJc w:val="left"/>
      <w:pPr>
        <w:tabs>
          <w:tab w:val="num" w:pos="2275"/>
        </w:tabs>
        <w:ind w:left="2275" w:hanging="360"/>
      </w:pPr>
      <w:rPr>
        <w:rFonts w:ascii="Courier New" w:hAnsi="Courier New" w:cs="Courier New" w:hint="default"/>
      </w:rPr>
    </w:lvl>
    <w:lvl w:ilvl="2">
      <w:start w:val="1"/>
      <w:numFmt w:val="bullet"/>
      <w:lvlText w:val=""/>
      <w:lvlJc w:val="left"/>
      <w:pPr>
        <w:tabs>
          <w:tab w:val="num" w:pos="2995"/>
        </w:tabs>
        <w:ind w:left="2995" w:hanging="360"/>
      </w:pPr>
      <w:rPr>
        <w:rFonts w:ascii="Wingdings" w:hAnsi="Wingdings" w:hint="default"/>
      </w:rPr>
    </w:lvl>
    <w:lvl w:ilvl="3">
      <w:start w:val="1"/>
      <w:numFmt w:val="bullet"/>
      <w:lvlText w:val=""/>
      <w:lvlJc w:val="left"/>
      <w:pPr>
        <w:tabs>
          <w:tab w:val="num" w:pos="3715"/>
        </w:tabs>
        <w:ind w:left="3715" w:hanging="360"/>
      </w:pPr>
      <w:rPr>
        <w:rFonts w:ascii="Symbol" w:hAnsi="Symbol" w:hint="default"/>
      </w:rPr>
    </w:lvl>
    <w:lvl w:ilvl="4">
      <w:start w:val="1"/>
      <w:numFmt w:val="bullet"/>
      <w:lvlText w:val="o"/>
      <w:lvlJc w:val="left"/>
      <w:pPr>
        <w:tabs>
          <w:tab w:val="num" w:pos="4435"/>
        </w:tabs>
        <w:ind w:left="4435" w:hanging="360"/>
      </w:pPr>
      <w:rPr>
        <w:rFonts w:ascii="Courier New" w:hAnsi="Courier New" w:cs="Courier New" w:hint="default"/>
      </w:rPr>
    </w:lvl>
    <w:lvl w:ilvl="5">
      <w:start w:val="1"/>
      <w:numFmt w:val="bullet"/>
      <w:lvlText w:val=""/>
      <w:lvlJc w:val="left"/>
      <w:pPr>
        <w:tabs>
          <w:tab w:val="num" w:pos="5155"/>
        </w:tabs>
        <w:ind w:left="5155" w:hanging="360"/>
      </w:pPr>
      <w:rPr>
        <w:rFonts w:ascii="Wingdings" w:hAnsi="Wingdings" w:hint="default"/>
      </w:rPr>
    </w:lvl>
    <w:lvl w:ilvl="6">
      <w:start w:val="1"/>
      <w:numFmt w:val="bullet"/>
      <w:lvlText w:val=""/>
      <w:lvlJc w:val="left"/>
      <w:pPr>
        <w:tabs>
          <w:tab w:val="num" w:pos="5875"/>
        </w:tabs>
        <w:ind w:left="5875" w:hanging="360"/>
      </w:pPr>
      <w:rPr>
        <w:rFonts w:ascii="Symbol" w:hAnsi="Symbol" w:hint="default"/>
      </w:rPr>
    </w:lvl>
    <w:lvl w:ilvl="7">
      <w:start w:val="1"/>
      <w:numFmt w:val="bullet"/>
      <w:lvlText w:val="o"/>
      <w:lvlJc w:val="left"/>
      <w:pPr>
        <w:tabs>
          <w:tab w:val="num" w:pos="6595"/>
        </w:tabs>
        <w:ind w:left="6595" w:hanging="360"/>
      </w:pPr>
      <w:rPr>
        <w:rFonts w:ascii="Courier New" w:hAnsi="Courier New" w:cs="Courier New" w:hint="default"/>
      </w:rPr>
    </w:lvl>
    <w:lvl w:ilvl="8">
      <w:start w:val="1"/>
      <w:numFmt w:val="bullet"/>
      <w:lvlText w:val=""/>
      <w:lvlJc w:val="left"/>
      <w:pPr>
        <w:tabs>
          <w:tab w:val="num" w:pos="7315"/>
        </w:tabs>
        <w:ind w:left="7315" w:hanging="360"/>
      </w:pPr>
      <w:rPr>
        <w:rFonts w:ascii="Wingdings" w:hAnsi="Wingdings" w:hint="default"/>
      </w:rPr>
    </w:lvl>
  </w:abstractNum>
  <w:abstractNum w:abstractNumId="1" w15:restartNumberingAfterBreak="0">
    <w:nsid w:val="36C4401C"/>
    <w:multiLevelType w:val="hybridMultilevel"/>
    <w:tmpl w:val="8C0E7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B0C78"/>
    <w:multiLevelType w:val="hybridMultilevel"/>
    <w:tmpl w:val="F230E286"/>
    <w:lvl w:ilvl="0" w:tplc="878EECCC">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15:restartNumberingAfterBreak="0">
    <w:nsid w:val="43BA6ACB"/>
    <w:multiLevelType w:val="hybridMultilevel"/>
    <w:tmpl w:val="48BA6156"/>
    <w:lvl w:ilvl="0" w:tplc="90127014">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F77EF"/>
    <w:multiLevelType w:val="hybridMultilevel"/>
    <w:tmpl w:val="B7C6A318"/>
    <w:lvl w:ilvl="0" w:tplc="878EECC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18937A2"/>
    <w:multiLevelType w:val="hybridMultilevel"/>
    <w:tmpl w:val="F3EAD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45F23"/>
    <w:multiLevelType w:val="hybridMultilevel"/>
    <w:tmpl w:val="F2E6062C"/>
    <w:lvl w:ilvl="0" w:tplc="878EECCC">
      <w:start w:val="1"/>
      <w:numFmt w:val="bullet"/>
      <w:lvlText w:val=""/>
      <w:lvlJc w:val="left"/>
      <w:pPr>
        <w:tabs>
          <w:tab w:val="num" w:pos="2275"/>
        </w:tabs>
        <w:ind w:left="2275" w:hanging="360"/>
      </w:pPr>
      <w:rPr>
        <w:rFonts w:ascii="Wingdings" w:hAnsi="Wingdings" w:hint="default"/>
      </w:rPr>
    </w:lvl>
    <w:lvl w:ilvl="1" w:tplc="04090003">
      <w:start w:val="1"/>
      <w:numFmt w:val="bullet"/>
      <w:lvlText w:val="o"/>
      <w:lvlJc w:val="left"/>
      <w:pPr>
        <w:tabs>
          <w:tab w:val="num" w:pos="2275"/>
        </w:tabs>
        <w:ind w:left="2275" w:hanging="360"/>
      </w:pPr>
      <w:rPr>
        <w:rFonts w:ascii="Courier New" w:hAnsi="Courier New" w:cs="Courier New" w:hint="default"/>
      </w:rPr>
    </w:lvl>
    <w:lvl w:ilvl="2" w:tplc="04090005">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780E0F92"/>
    <w:multiLevelType w:val="hybridMultilevel"/>
    <w:tmpl w:val="0CE29CB2"/>
    <w:lvl w:ilvl="0" w:tplc="878EECCC">
      <w:start w:val="1"/>
      <w:numFmt w:val="bullet"/>
      <w:lvlText w:val=""/>
      <w:lvlJc w:val="left"/>
      <w:pPr>
        <w:tabs>
          <w:tab w:val="num" w:pos="2995"/>
        </w:tabs>
        <w:ind w:left="2995" w:hanging="360"/>
      </w:pPr>
      <w:rPr>
        <w:rFonts w:ascii="Wingdings" w:hAnsi="Wingdings" w:hint="default"/>
      </w:rPr>
    </w:lvl>
    <w:lvl w:ilvl="1" w:tplc="04090003">
      <w:start w:val="1"/>
      <w:numFmt w:val="bullet"/>
      <w:lvlText w:val="o"/>
      <w:lvlJc w:val="left"/>
      <w:pPr>
        <w:tabs>
          <w:tab w:val="num" w:pos="2995"/>
        </w:tabs>
        <w:ind w:left="2995" w:hanging="360"/>
      </w:pPr>
      <w:rPr>
        <w:rFonts w:ascii="Courier New" w:hAnsi="Courier New" w:cs="Courier New" w:hint="default"/>
      </w:rPr>
    </w:lvl>
    <w:lvl w:ilvl="2" w:tplc="04090005">
      <w:start w:val="1"/>
      <w:numFmt w:val="bullet"/>
      <w:lvlText w:val=""/>
      <w:lvlJc w:val="left"/>
      <w:pPr>
        <w:tabs>
          <w:tab w:val="num" w:pos="3715"/>
        </w:tabs>
        <w:ind w:left="3715" w:hanging="360"/>
      </w:pPr>
      <w:rPr>
        <w:rFonts w:ascii="Wingdings" w:hAnsi="Wingdings" w:hint="default"/>
      </w:rPr>
    </w:lvl>
    <w:lvl w:ilvl="3" w:tplc="04090001" w:tentative="1">
      <w:start w:val="1"/>
      <w:numFmt w:val="bullet"/>
      <w:lvlText w:val=""/>
      <w:lvlJc w:val="left"/>
      <w:pPr>
        <w:tabs>
          <w:tab w:val="num" w:pos="4435"/>
        </w:tabs>
        <w:ind w:left="4435" w:hanging="360"/>
      </w:pPr>
      <w:rPr>
        <w:rFonts w:ascii="Symbol" w:hAnsi="Symbol" w:hint="default"/>
      </w:rPr>
    </w:lvl>
    <w:lvl w:ilvl="4" w:tplc="04090003" w:tentative="1">
      <w:start w:val="1"/>
      <w:numFmt w:val="bullet"/>
      <w:lvlText w:val="o"/>
      <w:lvlJc w:val="left"/>
      <w:pPr>
        <w:tabs>
          <w:tab w:val="num" w:pos="5155"/>
        </w:tabs>
        <w:ind w:left="5155" w:hanging="360"/>
      </w:pPr>
      <w:rPr>
        <w:rFonts w:ascii="Courier New" w:hAnsi="Courier New" w:cs="Courier New" w:hint="default"/>
      </w:rPr>
    </w:lvl>
    <w:lvl w:ilvl="5" w:tplc="04090005" w:tentative="1">
      <w:start w:val="1"/>
      <w:numFmt w:val="bullet"/>
      <w:lvlText w:val=""/>
      <w:lvlJc w:val="left"/>
      <w:pPr>
        <w:tabs>
          <w:tab w:val="num" w:pos="5875"/>
        </w:tabs>
        <w:ind w:left="5875" w:hanging="360"/>
      </w:pPr>
      <w:rPr>
        <w:rFonts w:ascii="Wingdings" w:hAnsi="Wingdings" w:hint="default"/>
      </w:rPr>
    </w:lvl>
    <w:lvl w:ilvl="6" w:tplc="04090001" w:tentative="1">
      <w:start w:val="1"/>
      <w:numFmt w:val="bullet"/>
      <w:lvlText w:val=""/>
      <w:lvlJc w:val="left"/>
      <w:pPr>
        <w:tabs>
          <w:tab w:val="num" w:pos="6595"/>
        </w:tabs>
        <w:ind w:left="6595" w:hanging="360"/>
      </w:pPr>
      <w:rPr>
        <w:rFonts w:ascii="Symbol" w:hAnsi="Symbol" w:hint="default"/>
      </w:rPr>
    </w:lvl>
    <w:lvl w:ilvl="7" w:tplc="04090003" w:tentative="1">
      <w:start w:val="1"/>
      <w:numFmt w:val="bullet"/>
      <w:lvlText w:val="o"/>
      <w:lvlJc w:val="left"/>
      <w:pPr>
        <w:tabs>
          <w:tab w:val="num" w:pos="7315"/>
        </w:tabs>
        <w:ind w:left="7315" w:hanging="360"/>
      </w:pPr>
      <w:rPr>
        <w:rFonts w:ascii="Courier New" w:hAnsi="Courier New" w:cs="Courier New" w:hint="default"/>
      </w:rPr>
    </w:lvl>
    <w:lvl w:ilvl="8" w:tplc="04090005" w:tentative="1">
      <w:start w:val="1"/>
      <w:numFmt w:val="bullet"/>
      <w:lvlText w:val=""/>
      <w:lvlJc w:val="left"/>
      <w:pPr>
        <w:tabs>
          <w:tab w:val="num" w:pos="8035"/>
        </w:tabs>
        <w:ind w:left="8035"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CF"/>
    <w:rsid w:val="00002737"/>
    <w:rsid w:val="00047BAF"/>
    <w:rsid w:val="0008539A"/>
    <w:rsid w:val="000F21DF"/>
    <w:rsid w:val="00102255"/>
    <w:rsid w:val="00132A96"/>
    <w:rsid w:val="00140607"/>
    <w:rsid w:val="00213451"/>
    <w:rsid w:val="00225A32"/>
    <w:rsid w:val="00275F2B"/>
    <w:rsid w:val="00282864"/>
    <w:rsid w:val="002C1B93"/>
    <w:rsid w:val="002D309E"/>
    <w:rsid w:val="002D7B35"/>
    <w:rsid w:val="00300E49"/>
    <w:rsid w:val="0031340C"/>
    <w:rsid w:val="00322BC1"/>
    <w:rsid w:val="00361936"/>
    <w:rsid w:val="00361B17"/>
    <w:rsid w:val="003626AE"/>
    <w:rsid w:val="003657FD"/>
    <w:rsid w:val="003706A7"/>
    <w:rsid w:val="00372A38"/>
    <w:rsid w:val="00386788"/>
    <w:rsid w:val="003C22E6"/>
    <w:rsid w:val="00407234"/>
    <w:rsid w:val="004316F7"/>
    <w:rsid w:val="004B182E"/>
    <w:rsid w:val="004F3FAF"/>
    <w:rsid w:val="00541557"/>
    <w:rsid w:val="00541D95"/>
    <w:rsid w:val="0055738E"/>
    <w:rsid w:val="0059172A"/>
    <w:rsid w:val="005D0B98"/>
    <w:rsid w:val="005D73DD"/>
    <w:rsid w:val="00607467"/>
    <w:rsid w:val="00644593"/>
    <w:rsid w:val="00651FDB"/>
    <w:rsid w:val="00660759"/>
    <w:rsid w:val="0067633B"/>
    <w:rsid w:val="006800D4"/>
    <w:rsid w:val="006826DD"/>
    <w:rsid w:val="00715F7F"/>
    <w:rsid w:val="00755BF6"/>
    <w:rsid w:val="00782AA8"/>
    <w:rsid w:val="007D7210"/>
    <w:rsid w:val="007E4BD5"/>
    <w:rsid w:val="008311E8"/>
    <w:rsid w:val="0083120B"/>
    <w:rsid w:val="00831915"/>
    <w:rsid w:val="008669C3"/>
    <w:rsid w:val="008A4CE8"/>
    <w:rsid w:val="008B0392"/>
    <w:rsid w:val="00901D07"/>
    <w:rsid w:val="00910624"/>
    <w:rsid w:val="009547E9"/>
    <w:rsid w:val="00960309"/>
    <w:rsid w:val="009714CF"/>
    <w:rsid w:val="00990270"/>
    <w:rsid w:val="009A5D6D"/>
    <w:rsid w:val="009C54D3"/>
    <w:rsid w:val="00A22D86"/>
    <w:rsid w:val="00A34CBA"/>
    <w:rsid w:val="00A6411A"/>
    <w:rsid w:val="00A811DA"/>
    <w:rsid w:val="00B05A37"/>
    <w:rsid w:val="00B80217"/>
    <w:rsid w:val="00B84906"/>
    <w:rsid w:val="00BC3F35"/>
    <w:rsid w:val="00BC6E9F"/>
    <w:rsid w:val="00BD7468"/>
    <w:rsid w:val="00C41E13"/>
    <w:rsid w:val="00C46683"/>
    <w:rsid w:val="00C709A5"/>
    <w:rsid w:val="00C73392"/>
    <w:rsid w:val="00CE5421"/>
    <w:rsid w:val="00D51AE4"/>
    <w:rsid w:val="00D65E71"/>
    <w:rsid w:val="00D7359E"/>
    <w:rsid w:val="00DD39F1"/>
    <w:rsid w:val="00DD63F0"/>
    <w:rsid w:val="00E37DF1"/>
    <w:rsid w:val="00E475DA"/>
    <w:rsid w:val="00E7729E"/>
    <w:rsid w:val="00E9715D"/>
    <w:rsid w:val="00EB0CBA"/>
    <w:rsid w:val="00EF091F"/>
    <w:rsid w:val="00F17B18"/>
    <w:rsid w:val="00F25D17"/>
    <w:rsid w:val="00F339A0"/>
    <w:rsid w:val="00F55C8A"/>
    <w:rsid w:val="00FA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B10486-B240-4180-9252-9A67AC8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CF"/>
    <w:pPr>
      <w:ind w:left="835"/>
    </w:pPr>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00D4"/>
    <w:pPr>
      <w:tabs>
        <w:tab w:val="center" w:pos="4320"/>
        <w:tab w:val="right" w:pos="8640"/>
      </w:tabs>
    </w:pPr>
    <w:rPr>
      <w:lang w:val="x-none" w:eastAsia="x-none"/>
    </w:rPr>
  </w:style>
  <w:style w:type="paragraph" w:styleId="Footer">
    <w:name w:val="footer"/>
    <w:basedOn w:val="Normal"/>
    <w:rsid w:val="006800D4"/>
    <w:pPr>
      <w:tabs>
        <w:tab w:val="center" w:pos="4320"/>
        <w:tab w:val="right" w:pos="8640"/>
      </w:tabs>
    </w:pPr>
  </w:style>
  <w:style w:type="paragraph" w:styleId="BalloonText">
    <w:name w:val="Balloon Text"/>
    <w:basedOn w:val="Normal"/>
    <w:semiHidden/>
    <w:rsid w:val="00EB0CBA"/>
    <w:rPr>
      <w:rFonts w:ascii="Tahoma" w:hAnsi="Tahoma" w:cs="Tahoma"/>
      <w:sz w:val="16"/>
      <w:szCs w:val="16"/>
    </w:rPr>
  </w:style>
  <w:style w:type="character" w:customStyle="1" w:styleId="HeaderChar">
    <w:name w:val="Header Char"/>
    <w:link w:val="Header"/>
    <w:uiPriority w:val="99"/>
    <w:rsid w:val="00F339A0"/>
    <w:rPr>
      <w:rFonts w:ascii="Arial" w:hAnsi="Arial"/>
      <w:spacing w:val="-5"/>
    </w:rPr>
  </w:style>
  <w:style w:type="paragraph" w:styleId="ListParagraph">
    <w:name w:val="List Paragraph"/>
    <w:basedOn w:val="Normal"/>
    <w:uiPriority w:val="34"/>
    <w:qFormat/>
    <w:rsid w:val="00660759"/>
    <w:pPr>
      <w:ind w:left="720"/>
      <w:contextualSpacing/>
    </w:pPr>
    <w:rPr>
      <w:rFonts w:ascii="Calibri" w:eastAsia="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BEC9-464E-45DD-AA7F-B5AAF75E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874</Words>
  <Characters>4666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Athens Spine Center</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Cynthia Dickerson</dc:creator>
  <cp:keywords/>
  <cp:lastModifiedBy>Peter VanDyck</cp:lastModifiedBy>
  <cp:revision>15</cp:revision>
  <cp:lastPrinted>2016-08-09T15:37:00Z</cp:lastPrinted>
  <dcterms:created xsi:type="dcterms:W3CDTF">2016-08-04T17:05:00Z</dcterms:created>
  <dcterms:modified xsi:type="dcterms:W3CDTF">2016-10-18T15:55:00Z</dcterms:modified>
</cp:coreProperties>
</file>